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30 października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VII/..../24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w Ostrowie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października 2024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określenia górnych stawek opłat ponoszonych przez właścicieli nieruchomości, którzy nie są obowiązani do ponoszenia opłat za gospodarowanie odpadami komunalnymi oraz w zakresie opróżniania zbiorników bezodpływowych lub osadników w instalacjach przydomowych oczyszczalni ścieków i transportu nieczystości ciekłych na terenie Gminy Ostrów.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1996r.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utrzymaniu czystości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porządku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gminach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ze zm.) Rada Gminy Ostrów uchwala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następujące górne stawki opłat za odbiór odpadów komunalnych dla właścicieli nieruchomości, którzy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są zobowiązani do ponoszenia opłat za gospodarowanie odpadami komunalnymi na rzecz gminy: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440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zł netto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odpadów komunalnych zbieranych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odbieranych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nieselektywny,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zł netto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odpadów komunalnych zbieranych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odbieranych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selektywny.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górną stawkę opłaty ponoszonej przez właścicieli nieruchomości za usługę opróżniania zbiorników bezodpływowych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transportu nieczystości ciekłych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nieruchomości na podstawie zawartej umowy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podmiotem świadczącym stosowne usługi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wysokości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80,00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netto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nieczystości ciekłych.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górną stawkę opłaty ponoszonej za odbiór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transport nieczystości ciekłych przy opróżnianiu osadników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instalacjach przydomowych oczyszczalni ścieków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–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250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zł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netto za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osadu.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wyżej wymienionych opłat dolicza się podatek VAT według obowiązujących stawek.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XVIII/151/20 Rady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Ostrowie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2020r.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górnych stawek opłat ponoszonych przez właścicieli nieruchomości za usługi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odbierania odpadów komunalnych oraz opróżnianie zbiorników bezodpływowych.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Ostrów.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Podkarpackiego.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  <w:t>W związku ze zmianą ustawy z dnia 13 września 1996 r. o utrzymaniu czystości i porządku w gminach w uchwale w sprawie określenia górnych stawek opłat za gospodarowanie odpadami komunalnymi należy rozróżnić opłatę za usługę opróżniania zbiorników bezodpływowych od stawki opłaty ponoszonej za odbiór i transport nieczystości ciekłych przy opróżnianiu osadników w instalacjach przydomowych oczyszczalni ścieków</w:t>
      </w:r>
    </w:p>
    <w:p>
      <w:pPr>
        <w:keepNext w:val="0"/>
        <w:keepLines w:val="0"/>
        <w:widowControl/>
        <w:suppressLineNumbers w:val="0"/>
        <w:shd w:val="clear" w:color="auto" w:fill="FFFFFF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FFFFFF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  <w:t>Podwyżka górnych stawek opłat za usługę opróżniania zbiorników bezodpływowych wynika ze wzrostu cen  rynkowych związanych z gospodarką odpadową.</w:t>
      </w:r>
    </w:p>
    <w:p>
      <w:pPr>
        <w:keepNext w:val="0"/>
        <w:keepLines w:val="0"/>
        <w:widowControl/>
        <w:suppressLineNumbers w:val="0"/>
        <w:shd w:val="clear" w:color="auto" w:fill="FFFFFF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Calibri" w:hAnsi="Calibri"/>
          <w:color w:val="00B05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  <w:t>Górne stawki opłat za odbiór odpadów komunalnych pozostają bez zmian.</w:t>
      </w:r>
    </w:p>
    <w:p>
      <w:pPr>
        <w:keepNext w:val="0"/>
        <w:keepLines w:val="0"/>
        <w:widowControl/>
        <w:suppressLineNumbers w:val="0"/>
        <w:shd w:val="clear" w:color="auto" w:fill="FFFFFF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D5708D8C-2863-4970-9E45-2F3940AB4003.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D5708D8C-2863-4970-9E45-2F3940AB4003.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VII/..../24 z dnia 30 października 2024 r.</dc:title>
  <dc:subject>w sprawie określenia górnych stawek opłat ponoszonych przez właścicieli nieruchomości, którzy nie^są obowiązani do ponoszenia opłat za gospodarowanie odpadami komunalnymi oraz w^zakresie opróżniania zbiorników bezodpływowych lub osadników w^instalacjach przydomowych oczyszczalni ścieków i^transportu nieczystości ciekłych na terenie Gminy Ostrów.</dc:subject>
  <dc:creator>b_ziomek</dc:creator>
  <cp:lastModifiedBy>b_ziomek</cp:lastModifiedBy>
  <cp:revision>1</cp:revision>
  <dcterms:created xsi:type="dcterms:W3CDTF">2024-10-30T09:49:45Z</dcterms:created>
  <dcterms:modified xsi:type="dcterms:W3CDTF">2024-10-30T09:49:45Z</dcterms:modified>
  <cp:category>Akt prawny</cp:category>
</cp:coreProperties>
</file>