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w Ostrowie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wysokości i zasad wypłacania radnym i sołtysom diet oraz zwrotu kosztów podróży służbowej.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ust.4,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 oraz art.37 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609.) oraz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2021r.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maksymalnej wysokości diet przysługujących radnemu gminy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1974), Rada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Ostrowie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wysokość oraz zasady wypłaty diet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kosztów podroży służbowej dla radnych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Ostrowie za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pracach rady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jej komisjach,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także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wysokość zwrotu kosztów podroży służbowych.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uchwale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diecie maksymalnej, należy przez to rozumieć 50%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2,4-krotności kwoty bazowej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obowiązującej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miesiącu, za który dieta przysługuje – ustawie budżetowej dla osób zajmujących kierownicze stanowiska państwowe na podstawie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1999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kształtowaniu wynagrodzeń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państwowej sferze budżetowej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zmianie niektórych ustaw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Miesięczna, dieta radnego Gminy Ostrów lub przewodniczących organów wykonawczych jednostek pomocniczych Gminy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90 % diety maksymalnej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radnego pełniącego funkcję Przewodniczącego Rady;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65 % diety maksymalnej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radnego pełniącego funkcję Wiceprzewodniczącego Rady;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65 % diety maksymalnej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radnego pełniącego funkcję Przewodniczącego komisji Rady;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60 % diety maksymalnej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radnego pełniącego funkcję Wiceprzewodniczącego komisji Rady;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85 % diety maksymalnej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radnego sprawującego równocześnie mandat przewodniczących organów wykonawczych jednostek pomocniczych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60 % diety maksymalnej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radnego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pełniącego żadnej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funkcji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pełnienia kilku funkcji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§3 radnemu przysługuje miesięcznie jedna dieta ryczałtowa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najwyższej wysokości.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Wypłata diet, za dany miesiąc kalendarzowy, następuje jednorazowo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następnego miesiąca na podstawie list sporządzonych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obecności na sesjach rady oraz komisjach.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Dieta wypłacana jest przelewem na wskazane przez radnego konto bankowe. Kwoty diet zaokrągla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górę do pełnych złotych.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Wysokość miesięcznej diety ryczałtowej,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3, ulega obniżeniu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10% diety za każdą nieobecność radnego na sesji Rady 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5 % diety za każdą nieobecność na posiedzeniu komisji, której radny jest członkiem.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Obniżenia,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nieobecność na sesji Rady lub posiedzeniu Komisji jest spowodowana wykonywaniem innych obowiązków radnego na podstawie upoważnienia lub polecenia przewodniczącego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odbędzie się posiedzenie Rady lub Komisji, radnym dieta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pełnienia funkcji przez radnego lub przewodniczącego organów wykonawczych jednostek pomocniczych Gminy przez niepełny miesiąc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choroby, urlopu lub innej przyczyny dieta przysługuje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proporcjonalnej do okresu sprawowania funkcji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miesiącu.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Radny lub przewodniczący organów wykonawczych jednostek pomocniczych Gminy zobowiązany jest do pisemnego poinformowania Przewodniczącego Rady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czasowym niewykonywaniu obowiązków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pełnieniem mandatu, podając okres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obowiązki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były wykonywane.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ust.5 należy przedłożyć Przewodniczącemu Rady najpóźniej pierwszego dnia miesiąca następującego po miesiącu, którego taka sytuacja dotyczy.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miesiąca kalendarzowego funkcji pełnionej przez radnego, od której uzależniona jest wypłata diety lub jej wysokość, wymiar diety ryczałtowej za dany miesiąc ustala się proporcjonalnie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Rady zobowiązany jest do pisemnego poinformowania Wiceprzewodniczącego Rady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czasowym niewykonywaniu obowiązków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pełnieniem mandatu, podając okres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obowiązki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były wykonywane.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należy przedłożyć Wiceprzewodniczącemu Rady najpóźniej pierwszego dnia miesiąca następującego po miesiącu, którego taka sytuacja dotyczy.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Radnemu delegowanemu przez Przewodniczącego Rady do wykonywania zadania mającego bezpośredni związek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wykonywaniem mandatu radnego poza miejscowością,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znajduje się siedziba Rady, przysługuje zwrot kosztów podróży służbowych, które to należności będą ustalane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Ministra Spraw Wewnętrznych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sposobu ustalania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zwrotu kosztów podróży służbowych radnych gminy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wystawieniem polecenia wyjazdu służbowego dla Przewodniczącego Rady Gminy wykonuje Wiceprzewodniczący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Uchwala się zryczałtowaną dietę dla przewodniczących organów wykonawczych jednostek pomocniczych Gminy za: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–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diety maksymalnej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czynności za pełnienie obowiązków przewodniczącego organu wykonawczego jednostki pomocniczej gminy –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diety maksymalnej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pełnienia funkcji przez przewodniczącego organu wykonawczego jednostki pomocniczej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krótszym niż miesiąc wysokość diety zostanie obliczona proporcjonalnie do liczby dni sprawowania funkcji przyjmując, że miesiąc liczy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przewodniczący organu wykonawczego jednostki pomocniczej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wypełnia swoich obowiązków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sołectwa, na wniosek Przewodniczącego Rady Gminy skierowany do Wójta Gminy Ostrów dieta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 tytułu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Ostrów.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III/21/18 Rady Gminy Ostrów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wysokości diet przysługujących Radnym Gminy Ostrów.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III/22/18 Rady Gminy Ostrów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wysokości diet dla sołtysów.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2024r.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A412FD1E-1306-4EFC-AB64-3C205A19A6C6.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 Ostrowie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4 czerwca 2024 r.</dc:title>
  <dc:subject>w sprawie ustalenia wysokości i^zasad wypłacania radnym i^sołtysom diet oraz zwrotu kosztów podróży służbowej.</dc:subject>
  <dc:creator>b_ziomek</dc:creator>
  <cp:lastModifiedBy>b_ziomek</cp:lastModifiedBy>
  <cp:revision>1</cp:revision>
  <dcterms:created xsi:type="dcterms:W3CDTF">2024-05-28T08:56:31Z</dcterms:created>
  <dcterms:modified xsi:type="dcterms:W3CDTF">2024-05-28T08:56:31Z</dcterms:modified>
  <cp:category>Akt prawny</cp:category>
</cp:coreProperties>
</file>